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center" w:pos="4536"/>
          <w:tab w:val="right" w:pos="8280"/>
          <w:tab w:val="right" w:pos="9639"/>
        </w:tabs>
        <w:snapToGrid w:val="0"/>
        <w:spacing w:after="0" w:line="240" w:lineRule="auto"/>
        <w:ind w:left="482" w:right="2" w:hanging="482" w:hangingChars="200"/>
        <w:jc w:val="left"/>
        <w:rPr>
          <w:rFonts w:hint="eastAsia" w:ascii="Times New Roman" w:hAnsi="Times New Roman" w:eastAsia="宋体" w:cs="Times New Roman"/>
          <w:b/>
          <w:kern w:val="0"/>
          <w:sz w:val="24"/>
          <w:szCs w:val="24"/>
          <w:lang w:val="en-GB" w:eastAsia="en-US"/>
        </w:rPr>
      </w:pPr>
      <w:r>
        <w:rPr>
          <w:rFonts w:hint="eastAsia" w:ascii="Times New Roman" w:hAnsi="Times New Roman" w:eastAsia="宋体" w:cs="Times New Roman"/>
          <w:b/>
          <w:kern w:val="0"/>
          <w:sz w:val="24"/>
          <w:szCs w:val="24"/>
          <w:lang w:val="en-GB" w:eastAsia="en-US"/>
        </w:rPr>
        <w:t>3GPP TSG</w:t>
      </w:r>
      <w:r>
        <w:rPr>
          <w:rFonts w:hint="eastAsia" w:ascii="Times New Roman" w:hAnsi="Times New Roman" w:eastAsia="宋体" w:cs="Times New Roman"/>
          <w:b/>
          <w:kern w:val="0"/>
          <w:sz w:val="24"/>
          <w:szCs w:val="24"/>
          <w:lang w:val="en-US" w:eastAsia="zh-CN"/>
        </w:rPr>
        <w:t xml:space="preserve"> </w:t>
      </w:r>
      <w:r>
        <w:rPr>
          <w:rFonts w:hint="eastAsia" w:ascii="Times New Roman" w:hAnsi="Times New Roman" w:eastAsia="宋体" w:cs="Times New Roman"/>
          <w:b/>
          <w:kern w:val="0"/>
          <w:sz w:val="24"/>
          <w:szCs w:val="24"/>
          <w:lang w:val="en-GB" w:eastAsia="en-US"/>
        </w:rPr>
        <w:t>RAN WG</w:t>
      </w:r>
      <w:r>
        <w:rPr>
          <w:rFonts w:hint="eastAsia" w:ascii="Times New Roman" w:hAnsi="Times New Roman" w:eastAsia="宋体" w:cs="Times New Roman"/>
          <w:b/>
          <w:kern w:val="0"/>
          <w:sz w:val="24"/>
          <w:szCs w:val="24"/>
          <w:lang w:val="en-US" w:eastAsia="zh-CN"/>
        </w:rPr>
        <w:t xml:space="preserve">1 </w:t>
      </w:r>
      <w:r>
        <w:rPr>
          <w:rFonts w:hint="eastAsia" w:ascii="Times New Roman" w:hAnsi="Times New Roman" w:eastAsia="宋体" w:cs="Times New Roman"/>
          <w:b/>
          <w:kern w:val="0"/>
          <w:sz w:val="24"/>
          <w:szCs w:val="24"/>
          <w:lang w:val="en-GB" w:eastAsia="en-US"/>
        </w:rPr>
        <w:t>#</w:t>
      </w:r>
      <w:r>
        <w:rPr>
          <w:rFonts w:hint="eastAsia" w:ascii="Times New Roman" w:hAnsi="Times New Roman" w:eastAsia="宋体" w:cs="Times New Roman"/>
          <w:b/>
          <w:kern w:val="0"/>
          <w:sz w:val="24"/>
          <w:szCs w:val="24"/>
          <w:lang w:val="en-US" w:eastAsia="zh-CN"/>
        </w:rPr>
        <w:t>114</w:t>
      </w:r>
      <w:r>
        <w:rPr>
          <w:rFonts w:hint="eastAsia" w:ascii="Times New Roman" w:hAnsi="Times New Roman" w:eastAsia="宋体" w:cs="Times New Roman"/>
          <w:b/>
          <w:kern w:val="0"/>
          <w:sz w:val="24"/>
          <w:szCs w:val="24"/>
          <w:lang w:val="en-GB" w:eastAsia="en-US"/>
        </w:rPr>
        <w:t>bis</w:t>
      </w:r>
      <w:r>
        <w:rPr>
          <w:rFonts w:hint="eastAsia" w:ascii="Times New Roman" w:hAnsi="Times New Roman" w:eastAsia="宋体" w:cs="Times New Roman"/>
          <w:b/>
          <w:kern w:val="0"/>
          <w:sz w:val="24"/>
          <w:szCs w:val="24"/>
          <w:lang w:val="en-GB" w:eastAsia="en-US"/>
        </w:rPr>
        <w:tab/>
      </w:r>
      <w:r>
        <w:rPr>
          <w:rFonts w:hint="eastAsia" w:ascii="Times New Roman" w:hAnsi="Times New Roman" w:eastAsia="宋体" w:cs="Times New Roman"/>
          <w:b/>
          <w:kern w:val="0"/>
          <w:sz w:val="24"/>
          <w:szCs w:val="24"/>
          <w:lang w:val="en-US" w:eastAsia="zh-CN"/>
        </w:rPr>
        <w:tab/>
        <w:t/>
      </w:r>
      <w:r>
        <w:rPr>
          <w:rFonts w:hint="eastAsia" w:ascii="Times New Roman" w:hAnsi="Times New Roman" w:eastAsia="宋体" w:cs="Times New Roman"/>
          <w:b/>
          <w:kern w:val="0"/>
          <w:sz w:val="24"/>
          <w:szCs w:val="24"/>
          <w:lang w:val="en-US" w:eastAsia="zh-CN"/>
        </w:rPr>
        <w:tab/>
        <w:t>R1-2310088</w:t>
      </w:r>
    </w:p>
    <w:p>
      <w:pPr>
        <w:widowControl/>
        <w:tabs>
          <w:tab w:val="center" w:pos="4536"/>
          <w:tab w:val="right" w:pos="8280"/>
          <w:tab w:val="right" w:pos="9639"/>
        </w:tabs>
        <w:snapToGrid w:val="0"/>
        <w:spacing w:after="0" w:line="240" w:lineRule="auto"/>
        <w:ind w:left="482" w:right="2" w:hanging="482" w:hangingChars="200"/>
        <w:jc w:val="left"/>
        <w:rPr>
          <w:rFonts w:hint="eastAsia" w:ascii="Times New Roman" w:hAnsi="Times New Roman" w:eastAsia="宋体" w:cs="Times New Roman"/>
          <w:b/>
          <w:kern w:val="0"/>
          <w:sz w:val="24"/>
          <w:szCs w:val="24"/>
          <w:lang w:val="en-GB" w:eastAsia="en-US"/>
        </w:rPr>
      </w:pPr>
      <w:r>
        <w:rPr>
          <w:rFonts w:hint="eastAsia" w:ascii="Times New Roman" w:hAnsi="Times New Roman" w:eastAsia="宋体" w:cs="Times New Roman"/>
          <w:b/>
          <w:kern w:val="0"/>
          <w:sz w:val="24"/>
          <w:szCs w:val="24"/>
          <w:lang w:val="en-GB" w:eastAsia="en-US"/>
        </w:rPr>
        <w:t>Xiamen, China, October 9</w:t>
      </w:r>
      <w:r>
        <w:rPr>
          <w:rFonts w:hint="eastAsia" w:ascii="Times New Roman" w:hAnsi="Times New Roman" w:eastAsia="宋体" w:cs="Times New Roman"/>
          <w:b/>
          <w:kern w:val="0"/>
          <w:sz w:val="24"/>
          <w:szCs w:val="24"/>
          <w:lang w:val="en-US" w:eastAsia="zh-CN"/>
        </w:rPr>
        <w:t>th</w:t>
      </w:r>
      <w:r>
        <w:rPr>
          <w:rFonts w:hint="eastAsia" w:ascii="Times New Roman" w:hAnsi="Times New Roman" w:eastAsia="宋体" w:cs="Times New Roman"/>
          <w:b/>
          <w:kern w:val="0"/>
          <w:sz w:val="24"/>
          <w:szCs w:val="24"/>
          <w:lang w:val="en-GB" w:eastAsia="en-US"/>
        </w:rPr>
        <w:t>–</w:t>
      </w:r>
      <w:bookmarkStart w:id="6" w:name="_GoBack"/>
      <w:bookmarkEnd w:id="6"/>
      <w:r>
        <w:rPr>
          <w:rFonts w:hint="eastAsia" w:ascii="Times New Roman" w:hAnsi="Times New Roman" w:eastAsia="宋体" w:cs="Times New Roman"/>
          <w:b/>
          <w:kern w:val="0"/>
          <w:sz w:val="24"/>
          <w:szCs w:val="24"/>
          <w:lang w:val="en-GB" w:eastAsia="en-US"/>
        </w:rPr>
        <w:t>October 13</w:t>
      </w:r>
      <w:r>
        <w:rPr>
          <w:rFonts w:hint="eastAsia" w:ascii="Times New Roman" w:hAnsi="Times New Roman" w:eastAsia="宋体" w:cs="Times New Roman"/>
          <w:b/>
          <w:kern w:val="0"/>
          <w:sz w:val="24"/>
          <w:szCs w:val="24"/>
          <w:lang w:val="en-US" w:eastAsia="zh-CN"/>
        </w:rPr>
        <w:t>th</w:t>
      </w:r>
      <w:r>
        <w:rPr>
          <w:rFonts w:hint="eastAsia" w:ascii="Times New Roman" w:hAnsi="Times New Roman" w:eastAsia="宋体" w:cs="Times New Roman"/>
          <w:b/>
          <w:kern w:val="0"/>
          <w:sz w:val="24"/>
          <w:szCs w:val="24"/>
          <w:lang w:val="en-GB" w:eastAsia="en-US"/>
        </w:rPr>
        <w:t>, 2023</w:t>
      </w:r>
    </w:p>
    <w:p>
      <w:pPr>
        <w:widowControl/>
        <w:tabs>
          <w:tab w:val="center" w:pos="4536"/>
          <w:tab w:val="right" w:pos="8280"/>
          <w:tab w:val="right" w:pos="9639"/>
        </w:tabs>
        <w:snapToGrid w:val="0"/>
        <w:spacing w:after="0" w:line="240" w:lineRule="auto"/>
        <w:ind w:left="482" w:right="2" w:hanging="482" w:hangingChars="200"/>
        <w:jc w:val="left"/>
        <w:rPr>
          <w:rFonts w:hint="eastAsia" w:ascii="Times New Roman" w:hAnsi="Times New Roman" w:eastAsia="宋体" w:cs="Times New Roman"/>
          <w:b/>
          <w:kern w:val="0"/>
          <w:sz w:val="24"/>
          <w:szCs w:val="24"/>
          <w:lang w:val="en-GB" w:eastAsia="ja-JP"/>
        </w:rPr>
      </w:pPr>
    </w:p>
    <w:p>
      <w:pPr>
        <w:pStyle w:val="18"/>
        <w:widowControl/>
        <w:pBdr>
          <w:bottom w:val="none" w:sz="0" w:space="0"/>
        </w:pBdr>
        <w:tabs>
          <w:tab w:val="left" w:pos="1805"/>
          <w:tab w:val="right" w:pos="9072"/>
          <w:tab w:val="clear" w:pos="4153"/>
          <w:tab w:val="clear" w:pos="8306"/>
        </w:tabs>
        <w:snapToGrid w:val="0"/>
        <w:spacing w:before="60" w:after="0" w:line="240" w:lineRule="auto"/>
        <w:ind w:left="1803" w:hanging="1803"/>
        <w:jc w:val="left"/>
        <w:rPr>
          <w:rFonts w:hint="default" w:ascii="Times New Roman" w:hAnsi="Times New Roman" w:eastAsia="MS Mincho" w:cs="Times New Roman"/>
          <w:b/>
          <w:kern w:val="0"/>
          <w:sz w:val="22"/>
          <w:szCs w:val="22"/>
          <w:lang w:val="en-US" w:eastAsia="zh-CN"/>
        </w:rPr>
      </w:pPr>
      <w:r>
        <w:rPr>
          <w:rFonts w:ascii="Times New Roman" w:hAnsi="Times New Roman" w:eastAsia="MS Mincho" w:cs="Times New Roman"/>
          <w:b/>
          <w:kern w:val="0"/>
          <w:sz w:val="22"/>
          <w:szCs w:val="22"/>
          <w:lang w:eastAsia="en-US"/>
        </w:rPr>
        <w:t>Agenda item:</w:t>
      </w:r>
      <w:r>
        <w:rPr>
          <w:rFonts w:ascii="Times New Roman" w:hAnsi="Times New Roman" w:eastAsia="MS Mincho" w:cs="Times New Roman"/>
          <w:b/>
          <w:kern w:val="0"/>
          <w:sz w:val="22"/>
          <w:szCs w:val="22"/>
          <w:lang w:eastAsia="en-US"/>
        </w:rPr>
        <w:tab/>
      </w:r>
      <w:r>
        <w:rPr>
          <w:rFonts w:hint="eastAsia" w:ascii="Times New Roman" w:hAnsi="Times New Roman" w:eastAsia="MS Mincho" w:cs="Times New Roman"/>
          <w:b/>
          <w:kern w:val="0"/>
          <w:sz w:val="22"/>
          <w:szCs w:val="22"/>
          <w:lang w:val="en-US" w:eastAsia="zh-CN"/>
        </w:rPr>
        <w:t>7.2</w:t>
      </w:r>
    </w:p>
    <w:p>
      <w:pPr>
        <w:pStyle w:val="18"/>
        <w:widowControl/>
        <w:pBdr>
          <w:bottom w:val="none" w:sz="0" w:space="0"/>
        </w:pBdr>
        <w:tabs>
          <w:tab w:val="left" w:pos="1805"/>
          <w:tab w:val="right" w:pos="9072"/>
          <w:tab w:val="clear" w:pos="4153"/>
          <w:tab w:val="clear" w:pos="8306"/>
        </w:tabs>
        <w:snapToGrid w:val="0"/>
        <w:spacing w:before="60" w:after="0" w:line="240" w:lineRule="auto"/>
        <w:ind w:left="1803" w:hanging="1803"/>
        <w:jc w:val="left"/>
        <w:rPr>
          <w:rFonts w:hint="default" w:ascii="Times New Roman" w:hAnsi="Times New Roman" w:eastAsia="宋体" w:cs="Times New Roman"/>
          <w:b/>
          <w:kern w:val="0"/>
          <w:sz w:val="22"/>
          <w:szCs w:val="22"/>
          <w:lang w:val="en-US" w:eastAsia="zh-CN"/>
        </w:rPr>
      </w:pPr>
      <w:r>
        <w:rPr>
          <w:rFonts w:ascii="Times New Roman" w:hAnsi="Times New Roman" w:eastAsia="MS Mincho" w:cs="Times New Roman"/>
          <w:b/>
          <w:kern w:val="0"/>
          <w:sz w:val="22"/>
          <w:szCs w:val="22"/>
          <w:lang w:eastAsia="en-US"/>
        </w:rPr>
        <w:t xml:space="preserve">Source: </w:t>
      </w:r>
      <w:r>
        <w:rPr>
          <w:rFonts w:ascii="Times New Roman" w:hAnsi="Times New Roman" w:eastAsia="MS Mincho" w:cs="Times New Roman"/>
          <w:b/>
          <w:kern w:val="0"/>
          <w:sz w:val="22"/>
          <w:szCs w:val="22"/>
          <w:lang w:eastAsia="en-US"/>
        </w:rPr>
        <w:tab/>
      </w:r>
      <w:r>
        <w:rPr>
          <w:rFonts w:ascii="Times New Roman" w:hAnsi="Times New Roman" w:eastAsia="MS Mincho" w:cs="Times New Roman"/>
          <w:b/>
          <w:kern w:val="0"/>
          <w:sz w:val="22"/>
          <w:szCs w:val="22"/>
          <w:lang w:eastAsia="en-US"/>
        </w:rPr>
        <w:t>ZTE</w:t>
      </w:r>
      <w:r>
        <w:rPr>
          <w:rFonts w:hint="eastAsia" w:ascii="Times New Roman" w:hAnsi="Times New Roman" w:eastAsia="宋体" w:cs="Times New Roman"/>
          <w:b/>
          <w:kern w:val="0"/>
          <w:sz w:val="22"/>
          <w:szCs w:val="22"/>
          <w:lang w:val="en-US" w:eastAsia="zh-CN"/>
        </w:rPr>
        <w:t>, Sanechips</w:t>
      </w:r>
    </w:p>
    <w:p>
      <w:pPr>
        <w:pStyle w:val="18"/>
        <w:widowControl/>
        <w:pBdr>
          <w:bottom w:val="none" w:sz="0" w:space="0"/>
        </w:pBdr>
        <w:tabs>
          <w:tab w:val="left" w:pos="1805"/>
          <w:tab w:val="right" w:pos="9072"/>
          <w:tab w:val="clear" w:pos="4153"/>
          <w:tab w:val="clear" w:pos="8306"/>
        </w:tabs>
        <w:snapToGrid w:val="0"/>
        <w:spacing w:before="60" w:after="0" w:line="240" w:lineRule="auto"/>
        <w:ind w:left="1803" w:hanging="1803"/>
        <w:jc w:val="left"/>
        <w:rPr>
          <w:rFonts w:hint="default" w:ascii="Times New Roman" w:hAnsi="Times New Roman" w:eastAsia="MS Mincho" w:cs="Times New Roman"/>
          <w:b/>
          <w:kern w:val="0"/>
          <w:sz w:val="22"/>
          <w:szCs w:val="22"/>
          <w:lang w:val="en-US" w:eastAsia="zh-CN"/>
        </w:rPr>
      </w:pPr>
      <w:r>
        <w:rPr>
          <w:rFonts w:ascii="Times New Roman" w:hAnsi="Times New Roman" w:eastAsia="MS Mincho" w:cs="Times New Roman"/>
          <w:b/>
          <w:kern w:val="0"/>
          <w:sz w:val="22"/>
          <w:szCs w:val="22"/>
          <w:lang w:eastAsia="en-US"/>
        </w:rPr>
        <w:t xml:space="preserve">Title: </w:t>
      </w:r>
      <w:r>
        <w:rPr>
          <w:rFonts w:ascii="Times New Roman" w:hAnsi="Times New Roman" w:eastAsia="MS Mincho" w:cs="Times New Roman"/>
          <w:b/>
          <w:kern w:val="0"/>
          <w:sz w:val="22"/>
          <w:szCs w:val="22"/>
          <w:lang w:eastAsia="en-US"/>
        </w:rPr>
        <w:tab/>
      </w:r>
      <w:r>
        <w:rPr>
          <w:rFonts w:ascii="Times New Roman" w:hAnsi="Times New Roman" w:eastAsia="MS Mincho" w:cs="Times New Roman"/>
          <w:b/>
          <w:kern w:val="0"/>
          <w:sz w:val="22"/>
          <w:szCs w:val="22"/>
          <w:lang w:eastAsia="en-US"/>
        </w:rPr>
        <w:t>Discussion on the determining of DCI size for multi-PxSCH scheduling during BWP switching</w:t>
      </w:r>
      <w:r>
        <w:rPr>
          <w:rFonts w:hint="eastAsia" w:ascii="Times New Roman" w:hAnsi="Times New Roman" w:eastAsia="MS Mincho" w:cs="Times New Roman"/>
          <w:b/>
          <w:kern w:val="0"/>
          <w:sz w:val="22"/>
          <w:szCs w:val="22"/>
          <w:lang w:val="en-US" w:eastAsia="zh-CN"/>
        </w:rPr>
        <w:t xml:space="preserve"> </w:t>
      </w:r>
    </w:p>
    <w:p>
      <w:pPr>
        <w:pStyle w:val="18"/>
        <w:widowControl/>
        <w:pBdr>
          <w:bottom w:val="none" w:sz="0" w:space="0"/>
        </w:pBdr>
        <w:tabs>
          <w:tab w:val="left" w:pos="1805"/>
          <w:tab w:val="right" w:pos="9072"/>
          <w:tab w:val="clear" w:pos="4153"/>
          <w:tab w:val="clear" w:pos="8306"/>
        </w:tabs>
        <w:snapToGrid w:val="0"/>
        <w:spacing w:before="60" w:after="0" w:line="240" w:lineRule="auto"/>
        <w:ind w:left="1803" w:hanging="1803"/>
        <w:jc w:val="left"/>
        <w:rPr>
          <w:rFonts w:ascii="Times New Roman" w:hAnsi="Times New Roman" w:eastAsia="MS Mincho" w:cs="Times New Roman"/>
          <w:b/>
          <w:kern w:val="0"/>
          <w:sz w:val="22"/>
          <w:szCs w:val="22"/>
          <w:lang w:eastAsia="zh-CN"/>
        </w:rPr>
      </w:pPr>
      <w:r>
        <w:rPr>
          <w:rFonts w:ascii="Times New Roman" w:hAnsi="Times New Roman" w:eastAsia="MS Mincho" w:cs="Times New Roman"/>
          <w:b/>
          <w:kern w:val="0"/>
          <w:sz w:val="22"/>
          <w:szCs w:val="22"/>
          <w:lang w:eastAsia="en-US"/>
        </w:rPr>
        <w:t>Document for:</w:t>
      </w:r>
      <w:r>
        <w:rPr>
          <w:rFonts w:ascii="Times New Roman" w:hAnsi="Times New Roman" w:eastAsia="MS Mincho" w:cs="Times New Roman"/>
          <w:b/>
          <w:kern w:val="0"/>
          <w:sz w:val="22"/>
          <w:szCs w:val="22"/>
          <w:lang w:eastAsia="en-US"/>
        </w:rPr>
        <w:tab/>
      </w:r>
      <w:bookmarkStart w:id="0" w:name="DocumentFor"/>
      <w:bookmarkEnd w:id="0"/>
      <w:r>
        <w:rPr>
          <w:rFonts w:ascii="Times New Roman" w:hAnsi="Times New Roman" w:eastAsia="MS Mincho" w:cs="Times New Roman"/>
          <w:b/>
          <w:kern w:val="0"/>
          <w:sz w:val="22"/>
          <w:szCs w:val="22"/>
          <w:lang w:eastAsia="en-US"/>
        </w:rPr>
        <w:t>Discussion and Decision</w:t>
      </w:r>
      <w:r>
        <w:rPr>
          <w:rFonts w:hint="eastAsia" w:ascii="Times New Roman" w:hAnsi="Times New Roman" w:eastAsia="MS Mincho" w:cs="Times New Roman"/>
          <w:b/>
          <w:kern w:val="0"/>
          <w:sz w:val="22"/>
          <w:szCs w:val="22"/>
          <w:lang w:eastAsia="zh-CN"/>
        </w:rPr>
        <w:t xml:space="preserve">  </w:t>
      </w:r>
    </w:p>
    <w:p>
      <w:pPr>
        <w:pStyle w:val="55"/>
        <w:tabs>
          <w:tab w:val="left" w:pos="567"/>
          <w:tab w:val="clear" w:pos="1985"/>
        </w:tabs>
        <w:adjustRightInd w:val="0"/>
        <w:ind w:left="510" w:hanging="510"/>
        <w:rPr>
          <w:highlight w:val="none"/>
        </w:rPr>
      </w:pPr>
      <w:r>
        <w:rPr>
          <w:highlight w:val="none"/>
        </w:rPr>
        <w:t>Introduction</w:t>
      </w:r>
    </w:p>
    <w:p>
      <w:pPr>
        <w:rPr>
          <w:lang w:val="en-US"/>
        </w:rPr>
      </w:pPr>
      <w:r>
        <w:rPr>
          <w:rFonts w:hint="eastAsia" w:cs="Times New Roman"/>
          <w:kern w:val="2"/>
          <w:sz w:val="21"/>
          <w:szCs w:val="22"/>
          <w:highlight w:val="none"/>
          <w:lang w:val="en-US" w:eastAsia="zh-CN" w:bidi="ar-SA"/>
        </w:rPr>
        <w:t>In this contribution, the determining of DCI size during BWP switching will be discussed when multi-PUSCH and/or multi-PDSCH scheduling is supported.</w:t>
      </w:r>
      <w:bookmarkStart w:id="1" w:name="OLE_LINK3"/>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0"/>
      <w:bookmarkStart w:id="3" w:name="OLE_LINK14"/>
      <w:bookmarkStart w:id="4" w:name="OLE_LINK13"/>
      <w:bookmarkStart w:id="5" w:name="OLE_LINK20"/>
      <w:r>
        <w:rPr>
          <w:rFonts w:hint="eastAsia" w:eastAsia="Times New Roman"/>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lang w:val="en-US" w:eastAsia="zh-CN"/>
        </w:rPr>
        <w:t>In RAN1 #114 meeting, an conclusion was achieved for the determining of DCI size when multi-PUSCH and/or multi-PDSCH scheduling is supported.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ascii="微软雅黑" w:hAnsi="微软雅黑" w:eastAsia="微软雅黑" w:cs="微软雅黑"/>
          <w:b w:val="0"/>
          <w:bCs w:val="0"/>
          <w:i w:val="0"/>
          <w:iCs w:val="0"/>
          <w:caps w:val="0"/>
          <w:color w:val="000000"/>
          <w:spacing w:val="0"/>
          <w:sz w:val="16"/>
          <w:szCs w:val="16"/>
          <w:shd w:val="clear" w:fill="FFFFFF"/>
        </w:rPr>
        <w:drawing>
          <wp:inline distT="0" distB="0" distL="114300" distR="114300">
            <wp:extent cx="6120130" cy="2553335"/>
            <wp:effectExtent l="0" t="0" r="6350" b="698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6120130" cy="255333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lang w:val="en-US" w:eastAsia="zh-CN"/>
        </w:rPr>
        <w:t>In RAN1 #112bis meeting, an conclusion was achieved for determining the CBGTI field as follows:</w:t>
      </w:r>
    </w:p>
    <w:p>
      <w:pPr>
        <w:keepNext w:val="0"/>
        <w:keepLines w:val="0"/>
        <w:pageBreakBefore w:val="0"/>
        <w:widowControl w:val="0"/>
        <w:numPr>
          <w:ilvl w:val="0"/>
          <w:numId w:val="0"/>
        </w:numPr>
        <w:kinsoku/>
        <w:wordWrap/>
        <w:overflowPunct/>
        <w:topLinePunct w:val="0"/>
        <w:autoSpaceDE/>
        <w:autoSpaceDN/>
        <w:bidi w:val="0"/>
        <w:adjustRightInd/>
        <w:snapToGrid/>
        <w:spacing w:after="0"/>
        <w:jc w:val="both"/>
        <w:textAlignment w:val="auto"/>
        <w:rPr>
          <w:rFonts w:hint="default"/>
          <w:lang w:val="en-US" w:eastAsia="zh-CN"/>
        </w:rPr>
      </w:pPr>
      <w:r>
        <w:drawing>
          <wp:inline distT="0" distB="0" distL="114300" distR="114300">
            <wp:extent cx="6184900" cy="742950"/>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rcRect t="6624"/>
                    <a:stretch>
                      <a:fillRect/>
                    </a:stretch>
                  </pic:blipFill>
                  <pic:spPr>
                    <a:xfrm>
                      <a:off x="0" y="0"/>
                      <a:ext cx="6184900" cy="7429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lang w:val="en-US" w:eastAsia="zh-CN"/>
        </w:rPr>
        <w:t>The above conclusion can align with the Interpretation #2. However, Interpretation #1 can not align with the above conclusion based on the analysis [1] and the CBGTI and UL-SCH field determined based on the Interpretation #1 will be interpretated as a different information which is not the original information of the scheduling DCI in Case 3. Therefore, the conflict between the above conclusion and Interpretation #1 should be solved at first if the Interpretation #1 is supported for multi-PUSCH scheduling. Based on the above analysis, we support the Interpretation #2 that the number of scheduled PUSCHs indicated by the Time domain resource assignment (TDRA) field is determined based on the TDRA field configuration for the indicated bandwidth part.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lang w:val="en-US" w:eastAsia="zh-CN"/>
        </w:rPr>
      </w:pPr>
      <w:r>
        <w:rPr>
          <w:rFonts w:hint="eastAsia"/>
          <w:lang w:val="en-US" w:eastAsia="zh-CN"/>
        </w:rPr>
        <w:t>The rule determining the NDI/RV field size of the multi-PUSCH scheduling can be reused to determine the NDI/RV field size for the multi-PDSCH scheduling.</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b/>
          <w:bCs/>
          <w:lang w:val="en-US" w:eastAsia="zh-CN"/>
        </w:rPr>
        <w:t>Proposal 1:</w:t>
      </w:r>
      <w:r>
        <w:rPr>
          <w:rFonts w:hint="eastAsia"/>
          <w:lang w:val="en-US" w:eastAsia="zh-CN"/>
        </w:rPr>
        <w:t xml:space="preserve"> To determine DCI field sizes of NDI/RV for PDSCH and NDI/RV/CBGTI/UL-SCH indicator for PUSCH when BWP switching field indicates a bandwidth part other than the active bandwidth part, the number of scheduled PDSCHs (or PUSCHs) indicated by the Time domain resource assignment (TDRA) field is determined based on the TDRA field configuration for the indicated bandwidth part.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lang w:val="en-US" w:eastAsia="zh-CN"/>
        </w:rPr>
      </w:pPr>
      <w:r>
        <w:rPr>
          <w:rFonts w:hint="eastAsia"/>
          <w:b/>
          <w:bCs/>
          <w:lang w:val="en-US" w:eastAsia="zh-CN"/>
        </w:rPr>
        <w:t xml:space="preserve">Proposal 2: </w:t>
      </w:r>
      <w:r>
        <w:rPr>
          <w:rFonts w:hint="eastAsia"/>
          <w:lang w:val="en-US" w:eastAsia="zh-CN"/>
        </w:rPr>
        <w:t>Adopt the draft CR for Rel-17 multi-PxSCH scheduling case in R1-2310086 [2] and another draft CR for Rel-16 multi-PUSCH scheduling case in R1-2310087 [3].</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on the determining of DCI size during BWP switching</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b/>
          <w:bCs/>
          <w:lang w:val="en-US" w:eastAsia="zh-CN"/>
        </w:rPr>
        <w:t>Proposal 1:</w:t>
      </w:r>
      <w:r>
        <w:rPr>
          <w:rFonts w:hint="eastAsia"/>
          <w:lang w:val="en-US" w:eastAsia="zh-CN"/>
        </w:rPr>
        <w:t xml:space="preserve"> To determine DCI field sizes of NDI/RV for PDSCH and NDI/RV/CBGTI/UL-SCH indicator for PUSCH when BWP switching field indicates a bandwidth part other than the active bandwidth part, the number of scheduled PDSCHs (or PUSCHs) indicated by the Time domain resource assignment (TDRA) field is determined based on the TDRA field configuration for the indicated bandwidth part.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b w:val="0"/>
          <w:bCs w:val="0"/>
          <w:i w:val="0"/>
          <w:iCs w:val="0"/>
          <w:lang w:val="en-US" w:eastAsia="zh-CN"/>
        </w:rPr>
      </w:pPr>
      <w:r>
        <w:rPr>
          <w:rFonts w:hint="eastAsia"/>
          <w:b/>
          <w:bCs/>
          <w:lang w:val="en-US" w:eastAsia="zh-CN"/>
        </w:rPr>
        <w:t xml:space="preserve">Proposal 2: </w:t>
      </w:r>
      <w:r>
        <w:rPr>
          <w:rFonts w:hint="eastAsia"/>
          <w:lang w:val="en-US" w:eastAsia="zh-CN"/>
        </w:rPr>
        <w:t>Adopt the draft CR for Rel-17 multi-PxSCH scheduling case in R1-2310086 [2] and another draft CR for Rel-16 multi-PUSCH scheduling case in R1-2310087 [3].</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2"/>
        </w:numPr>
      </w:pPr>
      <w:r>
        <w:rPr>
          <w:rFonts w:hint="eastAsia" w:ascii="Times New Roman" w:hAnsi="Times New Roman" w:eastAsia="宋体" w:cs="Times New Roman"/>
          <w:sz w:val="20"/>
          <w:szCs w:val="20"/>
          <w:highlight w:val="none"/>
          <w:lang w:val="en-US" w:eastAsia="zh-CN"/>
        </w:rPr>
        <w:t>R1-2307444</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cs="Times New Roman"/>
          <w:sz w:val="20"/>
          <w:szCs w:val="20"/>
          <w:highlight w:val="none"/>
          <w:lang w:val="en-US" w:eastAsia="zh-CN"/>
        </w:rPr>
        <w:t>Discussion on the interpretation of the number of scheduled PUSCH during DCI-based BWP switching</w:t>
      </w:r>
      <w:r>
        <w:rPr>
          <w:rFonts w:hint="default" w:cs="Times New Roman"/>
          <w:sz w:val="20"/>
          <w:szCs w:val="20"/>
          <w:highlight w:val="none"/>
          <w:lang w:val="en-US" w:eastAsia="zh-CN"/>
        </w:rPr>
        <w:t>”</w:t>
      </w:r>
      <w:r>
        <w:rPr>
          <w:rFonts w:hint="eastAsia" w:cs="Times New Roman"/>
          <w:sz w:val="20"/>
          <w:szCs w:val="20"/>
          <w:highlight w:val="none"/>
          <w:lang w:val="en-US" w:eastAsia="zh-CN"/>
        </w:rPr>
        <w:t>, NTT DOCOMO</w:t>
      </w:r>
    </w:p>
    <w:p>
      <w:pPr>
        <w:pStyle w:val="53"/>
        <w:numPr>
          <w:ilvl w:val="0"/>
          <w:numId w:val="2"/>
        </w:numPr>
      </w:pPr>
      <w:r>
        <w:rPr>
          <w:rFonts w:hint="eastAsia"/>
        </w:rPr>
        <w:t>R1-2310086</w:t>
      </w:r>
      <w:r>
        <w:rPr>
          <w:rFonts w:hint="eastAsia"/>
          <w:lang w:val="en-US" w:eastAsia="zh-CN"/>
        </w:rPr>
        <w:t>,</w:t>
      </w:r>
      <w:r>
        <w:rPr>
          <w:rFonts w:hint="eastAsia"/>
        </w:rPr>
        <w:t xml:space="preserve"> </w:t>
      </w:r>
      <w:r>
        <w:rPr>
          <w:rFonts w:hint="default"/>
          <w:lang w:val="en-US" w:eastAsia="zh-CN"/>
        </w:rPr>
        <w:t>“</w:t>
      </w:r>
      <w:r>
        <w:rPr>
          <w:rFonts w:hint="eastAsia"/>
        </w:rPr>
        <w:t>Draft CR on the determining of DCI size for multi-PxSCH scheduling during BWP switching</w:t>
      </w:r>
      <w:r>
        <w:rPr>
          <w:rFonts w:hint="default"/>
          <w:lang w:val="en-US" w:eastAsia="zh-CN"/>
        </w:rPr>
        <w:t>”</w:t>
      </w:r>
      <w:r>
        <w:rPr>
          <w:rFonts w:hint="eastAsia"/>
          <w:lang w:val="en-US" w:eastAsia="zh-CN"/>
        </w:rPr>
        <w:t>, ZTE, Sanechips</w:t>
      </w:r>
    </w:p>
    <w:p>
      <w:pPr>
        <w:pStyle w:val="53"/>
        <w:numPr>
          <w:ilvl w:val="0"/>
          <w:numId w:val="2"/>
        </w:numPr>
      </w:pPr>
      <w:r>
        <w:rPr>
          <w:rFonts w:hint="eastAsia"/>
        </w:rPr>
        <w:t>R1-2310087</w:t>
      </w:r>
      <w:r>
        <w:rPr>
          <w:rFonts w:hint="eastAsia"/>
          <w:lang w:val="en-US" w:eastAsia="zh-CN"/>
        </w:rPr>
        <w:t>,</w:t>
      </w:r>
      <w:r>
        <w:rPr>
          <w:rFonts w:hint="eastAsia"/>
        </w:rPr>
        <w:t xml:space="preserve"> </w:t>
      </w:r>
      <w:r>
        <w:rPr>
          <w:rFonts w:hint="default"/>
          <w:lang w:val="en-US" w:eastAsia="zh-CN"/>
        </w:rPr>
        <w:t>“</w:t>
      </w:r>
      <w:r>
        <w:rPr>
          <w:rFonts w:hint="eastAsia"/>
        </w:rPr>
        <w:t>Draft CR on the determining of DCI size for multi-PUSCH scheduling during BWP switching</w:t>
      </w:r>
      <w:r>
        <w:rPr>
          <w:rFonts w:hint="default"/>
          <w:lang w:val="en-US" w:eastAsia="zh-CN"/>
        </w:rPr>
        <w:t>”</w:t>
      </w:r>
      <w:r>
        <w:rPr>
          <w:rFonts w:hint="eastAsia"/>
          <w:lang w:val="en-US" w:eastAsia="zh-CN"/>
        </w:rPr>
        <w:t xml:space="preserve">, ZTE, Sanechips </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3D6728"/>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37620"/>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24CDC"/>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EE018D"/>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8C50E0"/>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AE0D34"/>
    <w:rsid w:val="04CC2223"/>
    <w:rsid w:val="04D66461"/>
    <w:rsid w:val="04DA15A7"/>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D21DF"/>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13405"/>
    <w:rsid w:val="08F5200D"/>
    <w:rsid w:val="08F911CC"/>
    <w:rsid w:val="09016732"/>
    <w:rsid w:val="09127CF4"/>
    <w:rsid w:val="09157E5B"/>
    <w:rsid w:val="092073EA"/>
    <w:rsid w:val="092234B5"/>
    <w:rsid w:val="09226860"/>
    <w:rsid w:val="092816B4"/>
    <w:rsid w:val="092C26C9"/>
    <w:rsid w:val="09334A3F"/>
    <w:rsid w:val="094109B5"/>
    <w:rsid w:val="09444B9B"/>
    <w:rsid w:val="09463F27"/>
    <w:rsid w:val="0953050B"/>
    <w:rsid w:val="09546457"/>
    <w:rsid w:val="095652B4"/>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360B2"/>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BB6D9B"/>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777E6"/>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62D02"/>
    <w:rsid w:val="0F49564D"/>
    <w:rsid w:val="0F4B7E21"/>
    <w:rsid w:val="0F4D1918"/>
    <w:rsid w:val="0F5075AE"/>
    <w:rsid w:val="0F521719"/>
    <w:rsid w:val="0F571705"/>
    <w:rsid w:val="0F584757"/>
    <w:rsid w:val="0F6A1108"/>
    <w:rsid w:val="0F704CEF"/>
    <w:rsid w:val="0F740111"/>
    <w:rsid w:val="0F7514AB"/>
    <w:rsid w:val="0F7735CB"/>
    <w:rsid w:val="0F776202"/>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1594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973F7"/>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D32C0"/>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0E7497"/>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9F773F"/>
    <w:rsid w:val="13A62921"/>
    <w:rsid w:val="13AB3B97"/>
    <w:rsid w:val="13B35E26"/>
    <w:rsid w:val="13B42C01"/>
    <w:rsid w:val="13B445AD"/>
    <w:rsid w:val="13B66BD2"/>
    <w:rsid w:val="13BA1CF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B565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97787A"/>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52C82"/>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BB67C1"/>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55409D"/>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117"/>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1D722D"/>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4D20C1"/>
    <w:rsid w:val="1E6703B7"/>
    <w:rsid w:val="1E680B85"/>
    <w:rsid w:val="1E6B2336"/>
    <w:rsid w:val="1E7845CD"/>
    <w:rsid w:val="1E8028A0"/>
    <w:rsid w:val="1E815B35"/>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25ABD"/>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3E4CF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D1F1A"/>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CF39E1"/>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76860"/>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77190"/>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17A3E"/>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66F2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DE388B"/>
    <w:rsid w:val="2AE70523"/>
    <w:rsid w:val="2AF12CDF"/>
    <w:rsid w:val="2AF27DCB"/>
    <w:rsid w:val="2AF86D0B"/>
    <w:rsid w:val="2AF92B4F"/>
    <w:rsid w:val="2B0726A6"/>
    <w:rsid w:val="2B0C6B23"/>
    <w:rsid w:val="2B17049A"/>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74F3B"/>
    <w:rsid w:val="2B686C09"/>
    <w:rsid w:val="2B795BD8"/>
    <w:rsid w:val="2B8759DF"/>
    <w:rsid w:val="2B8A4F1A"/>
    <w:rsid w:val="2B8B34AB"/>
    <w:rsid w:val="2B914C5E"/>
    <w:rsid w:val="2BA252E6"/>
    <w:rsid w:val="2BA43A43"/>
    <w:rsid w:val="2BA53554"/>
    <w:rsid w:val="2BB44220"/>
    <w:rsid w:val="2BB5543E"/>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33131"/>
    <w:rsid w:val="2C9A28D3"/>
    <w:rsid w:val="2CB35779"/>
    <w:rsid w:val="2CBC4209"/>
    <w:rsid w:val="2CC12D54"/>
    <w:rsid w:val="2CC172A5"/>
    <w:rsid w:val="2CC9742A"/>
    <w:rsid w:val="2CCB25EE"/>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57BE7"/>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3610"/>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1567E"/>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609"/>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65218"/>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96805"/>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72938"/>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06281"/>
    <w:rsid w:val="39E57C1D"/>
    <w:rsid w:val="39E70CEA"/>
    <w:rsid w:val="39E9070B"/>
    <w:rsid w:val="39EC7454"/>
    <w:rsid w:val="39FD2FB3"/>
    <w:rsid w:val="3A026596"/>
    <w:rsid w:val="3A082ABE"/>
    <w:rsid w:val="3A0E766B"/>
    <w:rsid w:val="3A181AC2"/>
    <w:rsid w:val="3A1A155D"/>
    <w:rsid w:val="3A237175"/>
    <w:rsid w:val="3A3D09BE"/>
    <w:rsid w:val="3A443D4B"/>
    <w:rsid w:val="3A4B68EC"/>
    <w:rsid w:val="3A4C0E33"/>
    <w:rsid w:val="3A5A33D2"/>
    <w:rsid w:val="3A5C5147"/>
    <w:rsid w:val="3A616CAD"/>
    <w:rsid w:val="3A6E3AE6"/>
    <w:rsid w:val="3A711C68"/>
    <w:rsid w:val="3A7831C2"/>
    <w:rsid w:val="3A7927E8"/>
    <w:rsid w:val="3A796E46"/>
    <w:rsid w:val="3A8B3C77"/>
    <w:rsid w:val="3A8E5120"/>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0261A"/>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7A0FEB"/>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36796"/>
    <w:rsid w:val="3E844725"/>
    <w:rsid w:val="3E8B095A"/>
    <w:rsid w:val="3E8D66A1"/>
    <w:rsid w:val="3E8E6C82"/>
    <w:rsid w:val="3E942719"/>
    <w:rsid w:val="3E943FDD"/>
    <w:rsid w:val="3E9A19C5"/>
    <w:rsid w:val="3E9A27AB"/>
    <w:rsid w:val="3E9A7C4E"/>
    <w:rsid w:val="3E9D2B84"/>
    <w:rsid w:val="3E9E1F00"/>
    <w:rsid w:val="3E9E3078"/>
    <w:rsid w:val="3EA361EA"/>
    <w:rsid w:val="3EAA16DD"/>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EFC77E7"/>
    <w:rsid w:val="3F0572F1"/>
    <w:rsid w:val="3F144192"/>
    <w:rsid w:val="3F180191"/>
    <w:rsid w:val="3F1871AF"/>
    <w:rsid w:val="3F217DDA"/>
    <w:rsid w:val="3F2B184D"/>
    <w:rsid w:val="3F2C7646"/>
    <w:rsid w:val="3F2F01F0"/>
    <w:rsid w:val="3F3C6744"/>
    <w:rsid w:val="3F3F0118"/>
    <w:rsid w:val="3F421D47"/>
    <w:rsid w:val="3F441B08"/>
    <w:rsid w:val="3F4A4087"/>
    <w:rsid w:val="3F50563E"/>
    <w:rsid w:val="3F5361F5"/>
    <w:rsid w:val="3F556D23"/>
    <w:rsid w:val="3F5B09D7"/>
    <w:rsid w:val="3F5D051B"/>
    <w:rsid w:val="3F630E3A"/>
    <w:rsid w:val="3F652A41"/>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DD4C27"/>
    <w:rsid w:val="3FE210C1"/>
    <w:rsid w:val="3FE77EBC"/>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A54C8"/>
    <w:rsid w:val="40BD153A"/>
    <w:rsid w:val="40C3250A"/>
    <w:rsid w:val="40CD7BD8"/>
    <w:rsid w:val="40CE24AF"/>
    <w:rsid w:val="40D07371"/>
    <w:rsid w:val="40D72999"/>
    <w:rsid w:val="40DF3ABC"/>
    <w:rsid w:val="40E75AF0"/>
    <w:rsid w:val="40E87142"/>
    <w:rsid w:val="40EA2C59"/>
    <w:rsid w:val="40F00A85"/>
    <w:rsid w:val="40F1013C"/>
    <w:rsid w:val="40F35427"/>
    <w:rsid w:val="40FE1447"/>
    <w:rsid w:val="41053DED"/>
    <w:rsid w:val="410623D3"/>
    <w:rsid w:val="41074BCF"/>
    <w:rsid w:val="412506DF"/>
    <w:rsid w:val="412824AD"/>
    <w:rsid w:val="413B1BAB"/>
    <w:rsid w:val="413C1F4C"/>
    <w:rsid w:val="41434504"/>
    <w:rsid w:val="4149456B"/>
    <w:rsid w:val="414C1126"/>
    <w:rsid w:val="414F41D7"/>
    <w:rsid w:val="414F7876"/>
    <w:rsid w:val="41515CEC"/>
    <w:rsid w:val="41546D5F"/>
    <w:rsid w:val="415625C0"/>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CF6EEE"/>
    <w:rsid w:val="41D1580B"/>
    <w:rsid w:val="41D57639"/>
    <w:rsid w:val="41DC5EDF"/>
    <w:rsid w:val="41DD05DE"/>
    <w:rsid w:val="41E4117E"/>
    <w:rsid w:val="41E41803"/>
    <w:rsid w:val="41F04C42"/>
    <w:rsid w:val="41F07014"/>
    <w:rsid w:val="41F24303"/>
    <w:rsid w:val="41F52080"/>
    <w:rsid w:val="41F94D40"/>
    <w:rsid w:val="42001B5D"/>
    <w:rsid w:val="42073380"/>
    <w:rsid w:val="420850A2"/>
    <w:rsid w:val="421B1059"/>
    <w:rsid w:val="422370F9"/>
    <w:rsid w:val="42273682"/>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5F66727"/>
    <w:rsid w:val="460D3781"/>
    <w:rsid w:val="46143BB4"/>
    <w:rsid w:val="46324244"/>
    <w:rsid w:val="46346A8F"/>
    <w:rsid w:val="46365246"/>
    <w:rsid w:val="463A2D38"/>
    <w:rsid w:val="464502B5"/>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14DDE"/>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29042D"/>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92B8C"/>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ED6CBE"/>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5E1A4F"/>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B0571"/>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01C86"/>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2475B"/>
    <w:rsid w:val="4C2840CB"/>
    <w:rsid w:val="4C312ECF"/>
    <w:rsid w:val="4C3C4F9D"/>
    <w:rsid w:val="4C422CA7"/>
    <w:rsid w:val="4C427C5C"/>
    <w:rsid w:val="4C5035A1"/>
    <w:rsid w:val="4C5440D8"/>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A86AB8"/>
    <w:rsid w:val="4DB41824"/>
    <w:rsid w:val="4DB75B4F"/>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40139"/>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74186"/>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0808"/>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32271"/>
    <w:rsid w:val="57780ED4"/>
    <w:rsid w:val="577B5E13"/>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A34BF"/>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350CD"/>
    <w:rsid w:val="5A05470A"/>
    <w:rsid w:val="5A0640DE"/>
    <w:rsid w:val="5A0F5868"/>
    <w:rsid w:val="5A1215B1"/>
    <w:rsid w:val="5A1928F0"/>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6221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64D38"/>
    <w:rsid w:val="5D784379"/>
    <w:rsid w:val="5D7B3457"/>
    <w:rsid w:val="5D7D50D6"/>
    <w:rsid w:val="5D826C13"/>
    <w:rsid w:val="5D8B2715"/>
    <w:rsid w:val="5D8D250E"/>
    <w:rsid w:val="5D8F399C"/>
    <w:rsid w:val="5D8F6111"/>
    <w:rsid w:val="5D915AFD"/>
    <w:rsid w:val="5D9404A9"/>
    <w:rsid w:val="5D976DA4"/>
    <w:rsid w:val="5D9A23F4"/>
    <w:rsid w:val="5D9F6617"/>
    <w:rsid w:val="5D9F7C74"/>
    <w:rsid w:val="5DA80EB7"/>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6C1A83"/>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E330B"/>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37B1F"/>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3E4CE0"/>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AC04C8"/>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2826DF"/>
    <w:rsid w:val="643F3FFC"/>
    <w:rsid w:val="644A69BC"/>
    <w:rsid w:val="644C372C"/>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23B0D"/>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B94B3A"/>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41DBE"/>
    <w:rsid w:val="689B3E14"/>
    <w:rsid w:val="689B7663"/>
    <w:rsid w:val="689C5C1D"/>
    <w:rsid w:val="689D6F4C"/>
    <w:rsid w:val="689F2FA0"/>
    <w:rsid w:val="68A02CE9"/>
    <w:rsid w:val="68A036C8"/>
    <w:rsid w:val="68A41350"/>
    <w:rsid w:val="68AD26AA"/>
    <w:rsid w:val="68AE2B22"/>
    <w:rsid w:val="68BB3F3F"/>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BF1DCF"/>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1C1659"/>
    <w:rsid w:val="6C206E21"/>
    <w:rsid w:val="6C25194D"/>
    <w:rsid w:val="6C263A06"/>
    <w:rsid w:val="6C337BE8"/>
    <w:rsid w:val="6C386C47"/>
    <w:rsid w:val="6C3A624E"/>
    <w:rsid w:val="6C3F4795"/>
    <w:rsid w:val="6C431738"/>
    <w:rsid w:val="6C442E2D"/>
    <w:rsid w:val="6C45539A"/>
    <w:rsid w:val="6C4B106D"/>
    <w:rsid w:val="6C4D5F76"/>
    <w:rsid w:val="6C505966"/>
    <w:rsid w:val="6C5D04BB"/>
    <w:rsid w:val="6C666C3C"/>
    <w:rsid w:val="6C6833E1"/>
    <w:rsid w:val="6C756009"/>
    <w:rsid w:val="6C7B5CBF"/>
    <w:rsid w:val="6C831974"/>
    <w:rsid w:val="6C882F2E"/>
    <w:rsid w:val="6C8A6FB0"/>
    <w:rsid w:val="6C8E4315"/>
    <w:rsid w:val="6C95615F"/>
    <w:rsid w:val="6CA94419"/>
    <w:rsid w:val="6CB242A2"/>
    <w:rsid w:val="6CC818AD"/>
    <w:rsid w:val="6CD944B7"/>
    <w:rsid w:val="6CE0612A"/>
    <w:rsid w:val="6CE269D3"/>
    <w:rsid w:val="6CEC448A"/>
    <w:rsid w:val="6CED284E"/>
    <w:rsid w:val="6CED3DB2"/>
    <w:rsid w:val="6CEE4274"/>
    <w:rsid w:val="6CEF4D2C"/>
    <w:rsid w:val="6CF04EB7"/>
    <w:rsid w:val="6CF17872"/>
    <w:rsid w:val="6CF76712"/>
    <w:rsid w:val="6CFD23D1"/>
    <w:rsid w:val="6D033EFD"/>
    <w:rsid w:val="6D0652BF"/>
    <w:rsid w:val="6D0A7734"/>
    <w:rsid w:val="6D0B0E35"/>
    <w:rsid w:val="6D0D6D19"/>
    <w:rsid w:val="6D273B17"/>
    <w:rsid w:val="6D274676"/>
    <w:rsid w:val="6D2F4B50"/>
    <w:rsid w:val="6D331EA6"/>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A772B"/>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AD7577"/>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4D0429"/>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0C0"/>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0F21690"/>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74ED2"/>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348AB"/>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05B2B"/>
    <w:rsid w:val="74FB509B"/>
    <w:rsid w:val="74FB6035"/>
    <w:rsid w:val="7502618E"/>
    <w:rsid w:val="750934A8"/>
    <w:rsid w:val="750A15E4"/>
    <w:rsid w:val="750C76FA"/>
    <w:rsid w:val="751C6D8A"/>
    <w:rsid w:val="75202BFE"/>
    <w:rsid w:val="752B3381"/>
    <w:rsid w:val="75325694"/>
    <w:rsid w:val="75376E15"/>
    <w:rsid w:val="753B454F"/>
    <w:rsid w:val="75441B17"/>
    <w:rsid w:val="75457EFF"/>
    <w:rsid w:val="7554481F"/>
    <w:rsid w:val="75594581"/>
    <w:rsid w:val="755A5494"/>
    <w:rsid w:val="75625A16"/>
    <w:rsid w:val="7564200E"/>
    <w:rsid w:val="75663FD1"/>
    <w:rsid w:val="757540E3"/>
    <w:rsid w:val="7583650A"/>
    <w:rsid w:val="75912385"/>
    <w:rsid w:val="759739B3"/>
    <w:rsid w:val="759B02AD"/>
    <w:rsid w:val="759B0C43"/>
    <w:rsid w:val="759B5CAF"/>
    <w:rsid w:val="759F1A50"/>
    <w:rsid w:val="75A53BC6"/>
    <w:rsid w:val="75AA180C"/>
    <w:rsid w:val="75AE7450"/>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0854DF"/>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47DC5"/>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56B2D"/>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5D1A50"/>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CB106D"/>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4A6458"/>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61AB9"/>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B4A63"/>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7720E8"/>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2023-09-29T04:42:41Z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EA0FE685728D4703959531DFA6C958F1</vt:lpwstr>
  </property>
</Properties>
</file>